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90"/>
        <w:gridCol w:w="975"/>
        <w:gridCol w:w="1740"/>
        <w:gridCol w:w="60"/>
        <w:gridCol w:w="975"/>
        <w:gridCol w:w="975"/>
        <w:gridCol w:w="975"/>
        <w:gridCol w:w="975"/>
        <w:gridCol w:w="870"/>
        <w:gridCol w:w="975"/>
        <w:gridCol w:w="975"/>
      </w:tblGrid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0" w:type="dxa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5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6 ноября 2025 г.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95" w:type="dxa"/>
            <w:gridSpan w:val="10"/>
            <w:vMerge w:val="restart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26"/>
                <w:szCs w:val="26"/>
              </w:rPr>
              <w:t>ООО "КОНСАЛТ ВЭЛДИНГ"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Полное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"КОНСАЛТ ВЭЛДИНГ"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Сокращенное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ООО "КОНСАЛТ ВЭЛДИНГ"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ИНН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2311184964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КПП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165101001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ОГРН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1152311000710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Юридический адрес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423585, Республика Татарстан (Татарстан), р-н Нижнекамский, г Нижнекамск, ул Рифката Гайнуллина, д. 5, офис 5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Генеральный директор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Вайсман Юлия Александровна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Главный бухгалтер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Вайсман Юлия Александровна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Налогообложение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УСН, Без НДС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Номер счета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40702810647200000644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Банк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ФИЛИАЛ "ЮЖНЫЙ" ПАО "БАНК УРАЛСИБ"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БИК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040349700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Корр. счет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30101810400000000700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Контакты</w:t>
            </w: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Электронная почта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y.vaysman@naks-krd.ru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